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465324"/>
                <wp:effectExtent b="0" l="0" r="0" t="0"/>
                <wp:wrapTopAndBottom distB="0" distT="0"/>
                <wp:docPr id="6" name=""/>
                <a:graphic>
                  <a:graphicData uri="http://schemas.microsoft.com/office/word/2010/wordprocessingGroup">
                    <wpg:wgp>
                      <wpg:cNvGrpSpPr/>
                      <wpg:grpSpPr>
                        <a:xfrm>
                          <a:off x="2288150" y="3556825"/>
                          <a:ext cx="6115685" cy="465324"/>
                          <a:chOff x="2288150" y="3556825"/>
                          <a:chExt cx="6115700" cy="446350"/>
                        </a:xfrm>
                      </wpg:grpSpPr>
                      <wpg:grpSp>
                        <wpg:cNvGrpSpPr/>
                        <wpg:grpSpPr>
                          <a:xfrm>
                            <a:off x="2288158" y="3556835"/>
                            <a:ext cx="6115685" cy="446331"/>
                            <a:chOff x="2288150" y="3566325"/>
                            <a:chExt cx="6115700" cy="427350"/>
                          </a:xfrm>
                        </wpg:grpSpPr>
                        <wps:wsp>
                          <wps:cNvSpPr/>
                          <wps:cNvPr id="3" name="Shape 3"/>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5" name="Shape 5"/>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7" name="Shape 7"/>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9" name="Shape 9"/>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11" name="Shape 11"/>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13" name="Shape 13"/>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14" name="Shape 14"/>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135"/>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trauma y primeros auxilios.</w:t>
                                        </w:r>
                                      </w:p>
                                    </w:txbxContent>
                                  </wps:txbx>
                                  <wps:bodyPr anchorCtr="0" anchor="t" bIns="0" lIns="0" spcFirstLastPara="1" rIns="0" wrap="square" tIns="0">
                                    <a:noAutofit/>
                                  </wps:bodyPr>
                                </wps:w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465324"/>
                <wp:effectExtent b="0" l="0" r="0" t="0"/>
                <wp:wrapTopAndBottom distB="0" distT="0"/>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46532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color w:val="00000a"/>
          <w:rtl w:val="0"/>
        </w:rPr>
        <w:t xml:space="preserve">Este curso está orientado a la actualización de los conocimientos establecidos para la atención de Primeros auxilios y teniendo en cuenta la continua evolución de los conocimientos  en la temática de trauma, primeros auxilios y reanimación cardiopulmonar, se hace necesaria la actualización del saber del personal policial mediante la formación y capacitación de estos, principalmente aquellas policías descentralizadas, que desempeñan actividades específicas y puntuales, como lo son las Direcciones que componen la Superintendencia de Seguridad Siniestral, que poseen una función propicia en siniestros con esas características.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propuesta está destinada al personal policial perteneciente a la Dirección de Bomberos, como así también a las demás direcciones que componen la Superintendencia de Seguridad Siniestral. Así mismo estará propuesto para el personal policial, de otras Superintendencias de esta cartera ministerial que requieran capacitación sobre esta temática. Y por último estará destinada para organismos del Estado municipal, provincial y nacional como así también para otras fuerzas provinciales o nacionales. </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40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rtl w:val="0"/>
        </w:rPr>
        <w:t xml:space="preserve">edición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Agosto.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capacitaciondireccionbomberos@gmail.com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ghW11zjboSAG1Q9wWQ8jqAG1A==">CgMxLjA4AHIhMUVmVTJ0czFxa1picDlZOXRGMzN6ZTV5aEZtSmhEQWlX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